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5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Kirchlengern, geschlossene Kanalsanierung 2026/2027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Gemeinde Kirchlengern saniert Hauptkanäle in geschlossener Bauweise mit
Renovationsverfahr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